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E" w:rsidRPr="00467C1A" w:rsidRDefault="00EA30C0" w:rsidP="003865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fldChar w:fldCharType="begin"/>
      </w:r>
      <w:r w:rsidR="000438FC">
        <w:instrText>HYPERLINK "consultantplus://offline/ref=81C534AC1618B38338B7138DDEB14344F59B417381706259B468524054C32ECBB30FCA5546109B5D4A4FB36DK7O"</w:instrText>
      </w:r>
      <w:r>
        <w:fldChar w:fldCharType="separate"/>
      </w:r>
      <w:r w:rsidR="0038654E" w:rsidRPr="00467C1A">
        <w:rPr>
          <w:rFonts w:ascii="Times New Roman" w:hAnsi="Times New Roman" w:cs="Times New Roman"/>
          <w:b/>
        </w:rPr>
        <w:t>Отчет</w:t>
      </w:r>
      <w:r>
        <w:fldChar w:fldCharType="end"/>
      </w:r>
      <w:r w:rsidR="0038654E" w:rsidRPr="00467C1A">
        <w:rPr>
          <w:rFonts w:ascii="Times New Roman" w:hAnsi="Times New Roman" w:cs="Times New Roman"/>
          <w:b/>
        </w:rPr>
        <w:t xml:space="preserve"> о достигнутых значениях целевых показателей (индикаторов) муниципальной программы</w:t>
      </w:r>
    </w:p>
    <w:p w:rsidR="0038654E" w:rsidRPr="00467C1A" w:rsidRDefault="0038654E" w:rsidP="0038654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7C1A">
        <w:rPr>
          <w:rFonts w:ascii="Times New Roman" w:hAnsi="Times New Roman" w:cs="Times New Roman"/>
          <w:b/>
        </w:rPr>
        <w:t xml:space="preserve">по состоянию на </w:t>
      </w:r>
      <w:r w:rsidRPr="00467C1A">
        <w:rPr>
          <w:rFonts w:ascii="Times New Roman" w:eastAsia="Times New Roman" w:hAnsi="Times New Roman" w:cs="Times New Roman"/>
          <w:b/>
        </w:rPr>
        <w:t>31.12.201</w:t>
      </w:r>
      <w:r w:rsidR="003C4D82">
        <w:rPr>
          <w:rFonts w:ascii="Times New Roman" w:eastAsia="Times New Roman" w:hAnsi="Times New Roman" w:cs="Times New Roman"/>
          <w:b/>
        </w:rPr>
        <w:t>6</w:t>
      </w:r>
      <w:r w:rsidRPr="00467C1A">
        <w:rPr>
          <w:rFonts w:ascii="Times New Roman" w:eastAsia="Times New Roman" w:hAnsi="Times New Roman" w:cs="Times New Roman"/>
          <w:b/>
        </w:rPr>
        <w:t>г.</w:t>
      </w:r>
    </w:p>
    <w:p w:rsidR="0038654E" w:rsidRPr="006D4E02" w:rsidRDefault="0038654E" w:rsidP="0038654E">
      <w:pPr>
        <w:spacing w:before="120" w:after="0"/>
        <w:jc w:val="center"/>
        <w:rPr>
          <w:b/>
        </w:rPr>
      </w:pPr>
    </w:p>
    <w:p w:rsidR="0038654E" w:rsidRPr="006D4E02" w:rsidRDefault="0038654E" w:rsidP="0038654E">
      <w:pPr>
        <w:spacing w:before="120"/>
      </w:pPr>
    </w:p>
    <w:p w:rsidR="0038654E" w:rsidRPr="00467C1A" w:rsidRDefault="0038654E" w:rsidP="0038654E">
      <w:pPr>
        <w:rPr>
          <w:rFonts w:ascii="Times New Roman" w:hAnsi="Times New Roman" w:cs="Times New Roman"/>
        </w:rPr>
      </w:pPr>
      <w:r w:rsidRPr="00467C1A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программы</w:t>
      </w:r>
      <w:r w:rsidRPr="00467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467C1A">
        <w:rPr>
          <w:rFonts w:ascii="Times New Roman" w:hAnsi="Times New Roman" w:cs="Times New Roman"/>
        </w:rPr>
        <w:t>Комплексные  меры противодействия немедицинскому потреблению наркотических средств и их незаконному обороту в муниципальном образовании «Можгинский район» на 2015-2020 годы</w:t>
      </w:r>
      <w:proofErr w:type="gramStart"/>
      <w:r w:rsidRPr="00467C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tbl>
      <w:tblPr>
        <w:tblW w:w="1496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45"/>
        <w:gridCol w:w="2000"/>
        <w:gridCol w:w="1000"/>
        <w:gridCol w:w="1439"/>
        <w:gridCol w:w="1240"/>
        <w:gridCol w:w="1240"/>
        <w:gridCol w:w="1240"/>
        <w:gridCol w:w="1255"/>
        <w:gridCol w:w="1240"/>
        <w:gridCol w:w="2602"/>
      </w:tblGrid>
      <w:tr w:rsidR="0038654E" w:rsidRPr="001C7181" w:rsidTr="000D67EF">
        <w:trPr>
          <w:trHeight w:val="20"/>
          <w:tblHeader/>
        </w:trPr>
        <w:tc>
          <w:tcPr>
            <w:tcW w:w="1268" w:type="dxa"/>
            <w:gridSpan w:val="2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Коды аналитической программной классификации</w:t>
            </w:r>
          </w:p>
        </w:tc>
        <w:tc>
          <w:tcPr>
            <w:tcW w:w="445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D4E0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6D4E02">
              <w:rPr>
                <w:sz w:val="16"/>
                <w:szCs w:val="16"/>
              </w:rPr>
              <w:t>/</w:t>
            </w:r>
            <w:proofErr w:type="spellStart"/>
            <w:r w:rsidRPr="006D4E0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0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919" w:type="dxa"/>
            <w:gridSpan w:val="3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Отклонение факта на конец отчетного периода от плана на отчетный год</w:t>
            </w:r>
          </w:p>
        </w:tc>
        <w:tc>
          <w:tcPr>
            <w:tcW w:w="1255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% исполнения плана на отчетный год</w:t>
            </w:r>
          </w:p>
        </w:tc>
        <w:tc>
          <w:tcPr>
            <w:tcW w:w="124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Темп роста (снижения) к уровню прошлого года, %</w:t>
            </w:r>
            <w:r w:rsidRPr="006D4E02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2602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 xml:space="preserve">Обоснование отклонений значений целевого показателя (индикатора) </w:t>
            </w:r>
          </w:p>
        </w:tc>
      </w:tr>
      <w:tr w:rsidR="0038654E" w:rsidRPr="001C7181" w:rsidTr="000D67EF">
        <w:trPr>
          <w:trHeight w:val="305"/>
          <w:tblHeader/>
        </w:trPr>
        <w:tc>
          <w:tcPr>
            <w:tcW w:w="1268" w:type="dxa"/>
            <w:gridSpan w:val="2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445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 xml:space="preserve">Факт за год, предшествующий отчетному году </w:t>
            </w:r>
          </w:p>
        </w:tc>
        <w:tc>
          <w:tcPr>
            <w:tcW w:w="124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240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Факт на конец отчетного периода, нарастающим итогом</w:t>
            </w: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8654E" w:rsidRPr="001C7181" w:rsidTr="000D67EF">
        <w:trPr>
          <w:trHeight w:val="20"/>
          <w:tblHeader/>
        </w:trPr>
        <w:tc>
          <w:tcPr>
            <w:tcW w:w="702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r w:rsidRPr="006D4E0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45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38654E" w:rsidRPr="001C7181" w:rsidTr="000D67EF">
        <w:trPr>
          <w:trHeight w:val="20"/>
        </w:trPr>
        <w:tc>
          <w:tcPr>
            <w:tcW w:w="702" w:type="dxa"/>
            <w:vAlign w:val="center"/>
          </w:tcPr>
          <w:p w:rsidR="0038654E" w:rsidRPr="006D4E02" w:rsidRDefault="0038654E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38654E" w:rsidRPr="006D4E02" w:rsidRDefault="0038654E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3256" w:type="dxa"/>
            <w:gridSpan w:val="9"/>
            <w:vAlign w:val="center"/>
          </w:tcPr>
          <w:p w:rsidR="0038654E" w:rsidRPr="00467C1A" w:rsidRDefault="0038654E" w:rsidP="000D67EF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67C1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 меры противодействия немедицинскому потреблению наркотических средств и их незаконному обороту в муниципальном образовании «Можгинский район» на 2015-2020 годы</w:t>
            </w:r>
            <w:proofErr w:type="gramStart"/>
            <w:r w:rsidRPr="00467C1A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38654E" w:rsidRPr="001C7181" w:rsidTr="000D67EF">
        <w:trPr>
          <w:trHeight w:val="20"/>
        </w:trPr>
        <w:tc>
          <w:tcPr>
            <w:tcW w:w="702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D4E02"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6" w:type="dxa"/>
            <w:vMerge w:val="restart"/>
            <w:vAlign w:val="center"/>
          </w:tcPr>
          <w:p w:rsidR="0038654E" w:rsidRPr="006D4E02" w:rsidRDefault="0038654E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D4E02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vAlign w:val="center"/>
          </w:tcPr>
          <w:p w:rsidR="0038654E" w:rsidRPr="00A510E3" w:rsidRDefault="0038654E" w:rsidP="000D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0E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 проведенных публичных мероприятий, направленных на профилактику наркомании среди подростков и  молодежи;</w:t>
            </w:r>
          </w:p>
          <w:p w:rsidR="0038654E" w:rsidRPr="006D4E02" w:rsidRDefault="0038654E" w:rsidP="000D67EF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000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39" w:type="dxa"/>
            <w:noWrap/>
            <w:vAlign w:val="center"/>
          </w:tcPr>
          <w:p w:rsidR="0038654E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40" w:type="dxa"/>
            <w:noWrap/>
            <w:vAlign w:val="center"/>
          </w:tcPr>
          <w:p w:rsidR="0038654E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240" w:type="dxa"/>
            <w:noWrap/>
            <w:vAlign w:val="center"/>
          </w:tcPr>
          <w:p w:rsidR="0038654E" w:rsidRPr="00A510E3" w:rsidRDefault="0038654E" w:rsidP="000D67EF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10E3">
              <w:rPr>
                <w:sz w:val="20"/>
                <w:szCs w:val="20"/>
              </w:rPr>
              <w:t>17</w:t>
            </w:r>
            <w:r w:rsidR="00845EF4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="00845EF4">
              <w:rPr>
                <w:sz w:val="16"/>
                <w:szCs w:val="16"/>
              </w:rPr>
              <w:t>,1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noWrap/>
            <w:vAlign w:val="center"/>
          </w:tcPr>
          <w:p w:rsidR="0038654E" w:rsidRPr="006D4E02" w:rsidRDefault="0038654E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72587" w:rsidRPr="001C7181" w:rsidTr="000D67EF">
        <w:trPr>
          <w:trHeight w:val="20"/>
        </w:trPr>
        <w:tc>
          <w:tcPr>
            <w:tcW w:w="702" w:type="dxa"/>
            <w:vMerge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vAlign w:val="center"/>
          </w:tcPr>
          <w:p w:rsidR="00272587" w:rsidRPr="006D4E02" w:rsidRDefault="00272587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vAlign w:val="center"/>
          </w:tcPr>
          <w:p w:rsidR="00272587" w:rsidRPr="00A510E3" w:rsidRDefault="00272587" w:rsidP="000D67EF">
            <w:pPr>
              <w:tabs>
                <w:tab w:val="left" w:pos="536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A510E3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темп роста (снижения) зарегистрированных преступлений, связанных с незаконным оборотом наркотиков, в том числе связанных со сбытом наркотических веществ, выявленных правоохранительными органами </w:t>
            </w:r>
            <w:r w:rsidRPr="00A510E3">
              <w:rPr>
                <w:rFonts w:ascii="Times New Roman" w:hAnsi="Times New Roman"/>
                <w:sz w:val="15"/>
                <w:szCs w:val="15"/>
              </w:rPr>
              <w:t>в муниципальном образовании «Можгинский район»</w:t>
            </w:r>
            <w:r w:rsidRPr="00A510E3">
              <w:rPr>
                <w:rFonts w:ascii="Times New Roman" w:eastAsia="Calibri" w:hAnsi="Times New Roman" w:cs="Times New Roman"/>
                <w:sz w:val="15"/>
                <w:szCs w:val="15"/>
              </w:rPr>
              <w:t>, по сравнению с аналогичным периодом прошлого года;</w:t>
            </w:r>
          </w:p>
          <w:p w:rsidR="00272587" w:rsidRPr="00A510E3" w:rsidRDefault="00272587" w:rsidP="000D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noWrap/>
            <w:vAlign w:val="center"/>
          </w:tcPr>
          <w:p w:rsidR="00272587" w:rsidRPr="004A3091" w:rsidRDefault="00272587" w:rsidP="000D67E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9" w:type="dxa"/>
            <w:noWrap/>
            <w:vAlign w:val="center"/>
          </w:tcPr>
          <w:p w:rsidR="00272587" w:rsidRPr="004A3091" w:rsidRDefault="00272587" w:rsidP="007C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  <w:p w:rsidR="00272587" w:rsidRPr="004A3091" w:rsidRDefault="00272587" w:rsidP="007C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(+4%)</w:t>
            </w:r>
            <w:bookmarkStart w:id="0" w:name="_GoBack"/>
            <w:bookmarkEnd w:id="0"/>
          </w:p>
        </w:tc>
        <w:tc>
          <w:tcPr>
            <w:tcW w:w="1240" w:type="dxa"/>
            <w:noWrap/>
            <w:vAlign w:val="center"/>
          </w:tcPr>
          <w:p w:rsidR="00272587" w:rsidRPr="004A3091" w:rsidRDefault="00272587" w:rsidP="007C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  <w:p w:rsidR="00272587" w:rsidRPr="004A3091" w:rsidRDefault="00272587" w:rsidP="007C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(+4%)</w:t>
            </w:r>
          </w:p>
        </w:tc>
        <w:tc>
          <w:tcPr>
            <w:tcW w:w="1240" w:type="dxa"/>
            <w:noWrap/>
            <w:vAlign w:val="center"/>
          </w:tcPr>
          <w:p w:rsidR="004F2AC2" w:rsidRPr="004A3091" w:rsidRDefault="004F2AC2" w:rsidP="004F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  <w:p w:rsidR="00272587" w:rsidRPr="00A510E3" w:rsidRDefault="004F2AC2" w:rsidP="004F2AC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(+4%)</w:t>
            </w:r>
          </w:p>
        </w:tc>
        <w:tc>
          <w:tcPr>
            <w:tcW w:w="1240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noWrap/>
            <w:vAlign w:val="center"/>
          </w:tcPr>
          <w:p w:rsidR="00272587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72587" w:rsidRPr="001C7181" w:rsidTr="000D67EF">
        <w:trPr>
          <w:trHeight w:val="20"/>
        </w:trPr>
        <w:tc>
          <w:tcPr>
            <w:tcW w:w="702" w:type="dxa"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72587" w:rsidRPr="006D4E02" w:rsidRDefault="00272587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vAlign w:val="center"/>
          </w:tcPr>
          <w:p w:rsidR="00272587" w:rsidRPr="00A510E3" w:rsidRDefault="00272587" w:rsidP="000D67EF">
            <w:pPr>
              <w:tabs>
                <w:tab w:val="left" w:pos="536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детей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молодёжи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охваченных профилактическими мероприятиями</w:t>
            </w:r>
          </w:p>
        </w:tc>
        <w:tc>
          <w:tcPr>
            <w:tcW w:w="1000" w:type="dxa"/>
            <w:noWrap/>
            <w:vAlign w:val="center"/>
          </w:tcPr>
          <w:p w:rsidR="00272587" w:rsidRDefault="00272587" w:rsidP="000D67E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39" w:type="dxa"/>
            <w:noWrap/>
            <w:vAlign w:val="center"/>
          </w:tcPr>
          <w:p w:rsidR="00272587" w:rsidRPr="004A3091" w:rsidRDefault="0027258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40" w:type="dxa"/>
            <w:noWrap/>
            <w:vAlign w:val="center"/>
          </w:tcPr>
          <w:p w:rsidR="00272587" w:rsidRPr="004A3091" w:rsidRDefault="0027258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091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40" w:type="dxa"/>
            <w:noWrap/>
            <w:vAlign w:val="center"/>
          </w:tcPr>
          <w:p w:rsidR="00272587" w:rsidRPr="00A510E3" w:rsidRDefault="00272587" w:rsidP="000D67EF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1240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noWrap/>
            <w:vAlign w:val="center"/>
          </w:tcPr>
          <w:p w:rsidR="00272587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40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72587" w:rsidRPr="001C7181" w:rsidTr="000D67EF">
        <w:trPr>
          <w:trHeight w:val="20"/>
        </w:trPr>
        <w:tc>
          <w:tcPr>
            <w:tcW w:w="702" w:type="dxa"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272587" w:rsidRPr="006D4E02" w:rsidRDefault="00272587" w:rsidP="000D67EF">
            <w:pPr>
              <w:spacing w:before="4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vAlign w:val="center"/>
          </w:tcPr>
          <w:p w:rsidR="00272587" w:rsidRPr="0038654E" w:rsidRDefault="00272587" w:rsidP="0038654E">
            <w:pPr>
              <w:tabs>
                <w:tab w:val="left" w:pos="214"/>
              </w:tabs>
              <w:spacing w:line="240" w:lineRule="auto"/>
              <w:jc w:val="both"/>
              <w:outlineLvl w:val="1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8654E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образовательных учреждений, в которых реализуются программы по профилактике наркомании и формированию здорового образа жизни;</w:t>
            </w:r>
          </w:p>
          <w:p w:rsidR="00272587" w:rsidRPr="00A510E3" w:rsidRDefault="00272587" w:rsidP="000D67EF">
            <w:pPr>
              <w:tabs>
                <w:tab w:val="left" w:pos="5360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noWrap/>
            <w:vAlign w:val="center"/>
          </w:tcPr>
          <w:p w:rsidR="00272587" w:rsidRDefault="00272587" w:rsidP="000D67E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="004F2A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9" w:type="dxa"/>
            <w:noWrap/>
            <w:vAlign w:val="center"/>
          </w:tcPr>
          <w:p w:rsidR="00272587" w:rsidRPr="004A3091" w:rsidRDefault="0027258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09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272587" w:rsidRPr="004A3091" w:rsidRDefault="004F2AC2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272587" w:rsidRPr="004A3091" w:rsidRDefault="0027258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0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F2AC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noWrap/>
            <w:vAlign w:val="center"/>
          </w:tcPr>
          <w:p w:rsidR="00272587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602" w:type="dxa"/>
            <w:noWrap/>
            <w:vAlign w:val="center"/>
          </w:tcPr>
          <w:p w:rsidR="00272587" w:rsidRPr="006D4E02" w:rsidRDefault="00272587" w:rsidP="000D67E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C8702B" w:rsidRDefault="00C8702B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/>
    <w:p w:rsidR="00CF23AC" w:rsidRDefault="00CF23AC" w:rsidP="00CF23AC">
      <w:pPr>
        <w:jc w:val="center"/>
        <w:rPr>
          <w:b/>
        </w:rPr>
      </w:pPr>
    </w:p>
    <w:p w:rsidR="00CF23AC" w:rsidRPr="00CF23AC" w:rsidRDefault="00EA30C0" w:rsidP="00CF2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F23AC" w:rsidRPr="00CF23AC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Отчет</w:t>
        </w:r>
      </w:hyperlink>
      <w:r w:rsidR="00CF23AC" w:rsidRPr="00CF23AC">
        <w:rPr>
          <w:rFonts w:ascii="Times New Roman" w:hAnsi="Times New Roman" w:cs="Times New Roman"/>
          <w:b/>
          <w:sz w:val="24"/>
          <w:szCs w:val="24"/>
        </w:rPr>
        <w:t xml:space="preserve"> о выполнении основных мероприятий муниципальной программы</w:t>
      </w:r>
    </w:p>
    <w:p w:rsidR="00CF23AC" w:rsidRPr="00CF23AC" w:rsidRDefault="00CF23AC" w:rsidP="00CF23A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AC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467C1A">
        <w:rPr>
          <w:rFonts w:ascii="Times New Roman" w:hAnsi="Times New Roman" w:cs="Times New Roman"/>
          <w:b/>
        </w:rPr>
        <w:t xml:space="preserve"> </w:t>
      </w:r>
      <w:r w:rsidRPr="00467C1A">
        <w:rPr>
          <w:rFonts w:ascii="Times New Roman" w:eastAsia="Times New Roman" w:hAnsi="Times New Roman" w:cs="Times New Roman"/>
          <w:b/>
        </w:rPr>
        <w:t>31.12.201</w:t>
      </w:r>
      <w:r w:rsidR="00272587">
        <w:rPr>
          <w:rFonts w:ascii="Times New Roman" w:eastAsia="Times New Roman" w:hAnsi="Times New Roman" w:cs="Times New Roman"/>
          <w:b/>
        </w:rPr>
        <w:t>6</w:t>
      </w:r>
      <w:r w:rsidRPr="00467C1A">
        <w:rPr>
          <w:rFonts w:ascii="Times New Roman" w:eastAsia="Times New Roman" w:hAnsi="Times New Roman" w:cs="Times New Roman"/>
          <w:b/>
        </w:rPr>
        <w:t>г.</w:t>
      </w:r>
    </w:p>
    <w:p w:rsidR="00CF23AC" w:rsidRDefault="00CF23AC" w:rsidP="00CF23AC">
      <w:pPr>
        <w:spacing w:before="120" w:after="0"/>
      </w:pPr>
    </w:p>
    <w:tbl>
      <w:tblPr>
        <w:tblW w:w="0" w:type="auto"/>
        <w:tblInd w:w="108" w:type="dxa"/>
        <w:tblLook w:val="04A0"/>
      </w:tblPr>
      <w:tblGrid>
        <w:gridCol w:w="3686"/>
        <w:gridCol w:w="7087"/>
      </w:tblGrid>
      <w:tr w:rsidR="00CF23AC" w:rsidTr="00CF23AC">
        <w:tc>
          <w:tcPr>
            <w:tcW w:w="3686" w:type="dxa"/>
            <w:hideMark/>
          </w:tcPr>
          <w:p w:rsidR="00CF23AC" w:rsidRPr="00CF23AC" w:rsidRDefault="00CF23AC">
            <w:pPr>
              <w:spacing w:before="40" w:after="40"/>
              <w:rPr>
                <w:rFonts w:ascii="Times New Roman" w:hAnsi="Times New Roman" w:cs="Times New Roman"/>
              </w:rPr>
            </w:pPr>
            <w:r w:rsidRPr="00CF23AC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087" w:type="dxa"/>
            <w:hideMark/>
          </w:tcPr>
          <w:p w:rsidR="00CF23AC" w:rsidRPr="00467C1A" w:rsidRDefault="00CF23AC" w:rsidP="00CF2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67C1A">
              <w:rPr>
                <w:rFonts w:ascii="Times New Roman" w:hAnsi="Times New Roman" w:cs="Times New Roman"/>
              </w:rPr>
              <w:t>Комплексные  меры противодействия немедицинскому потреблению наркотических средств и их незаконному обороту в муниципальном образовании «Можгинский район» на 2015-2020 годы</w:t>
            </w:r>
            <w:proofErr w:type="gramStart"/>
            <w:r w:rsidRPr="00467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CF23AC" w:rsidRDefault="00CF23AC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CF23AC" w:rsidRDefault="00CF23AC" w:rsidP="00CF23AC"/>
    <w:tbl>
      <w:tblPr>
        <w:tblW w:w="1513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474"/>
        <w:gridCol w:w="418"/>
        <w:gridCol w:w="474"/>
        <w:gridCol w:w="400"/>
        <w:gridCol w:w="2218"/>
        <w:gridCol w:w="2127"/>
        <w:gridCol w:w="1417"/>
        <w:gridCol w:w="1798"/>
        <w:gridCol w:w="1896"/>
        <w:gridCol w:w="1942"/>
        <w:gridCol w:w="1974"/>
      </w:tblGrid>
      <w:tr w:rsidR="00CF23AC" w:rsidRPr="00CF23AC" w:rsidTr="00F319F1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7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Достигнутый результат на конец отчетного периода</w:t>
            </w:r>
          </w:p>
        </w:tc>
        <w:tc>
          <w:tcPr>
            <w:tcW w:w="19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CF23AC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F23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F23AC" w:rsidRPr="00CF23AC" w:rsidRDefault="00CF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56F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A3056F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305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Усиление взаимодействия органов местного самоуправления, правоохранительных органов, общественных формирований и граждан по профилактике распространения наркомании и связанной с ними преступностью.  Развитие и укрепление системы межведомственного взаимодействия в  организации профилактики наркомании. 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86F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3056F" w:rsidRPr="00CF23AC" w:rsidRDefault="00A3056F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3056F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 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F319F1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мониторинга </w:t>
            </w:r>
            <w:proofErr w:type="spellStart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наркоситуации</w:t>
            </w:r>
            <w:proofErr w:type="spellEnd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целью изучения фактических масштабов распространения наркомании на территории муниципального образования "Можгинский район"</w:t>
            </w:r>
          </w:p>
          <w:p w:rsidR="00A3056F" w:rsidRPr="00F319F1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056F" w:rsidRPr="00F319F1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056F" w:rsidRPr="00F319F1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F319F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ГУ «Межмуниципальный отдел МВД России «Можгинский»</w:t>
            </w:r>
          </w:p>
          <w:p w:rsidR="00A3056F" w:rsidRPr="00F319F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БУЗ УР «Можгинская РБ </w:t>
            </w:r>
            <w:r w:rsid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</w:t>
            </w: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МЗ УР»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 годы</w:t>
            </w:r>
          </w:p>
          <w:p w:rsidR="00A3056F" w:rsidRPr="004A3091" w:rsidRDefault="00A3056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</w:t>
            </w:r>
            <w:proofErr w:type="spellEnd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Изучение фактических</w:t>
            </w: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масштабов распространения наркомании на территории муниципального образования "Можгинский </w:t>
            </w: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район"</w:t>
            </w:r>
          </w:p>
          <w:p w:rsidR="00A3056F" w:rsidRPr="004A3091" w:rsidRDefault="00A3056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течение </w:t>
            </w:r>
            <w:r w:rsidR="00F3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года </w:t>
            </w:r>
            <w:r w:rsidR="00272587">
              <w:rPr>
                <w:rFonts w:ascii="Times New Roman" w:eastAsia="Times New Roman" w:hAnsi="Times New Roman" w:cs="Times New Roman"/>
                <w:sz w:val="18"/>
                <w:szCs w:val="18"/>
              </w:rPr>
              <w:t>ежеквартально представляются</w:t>
            </w:r>
            <w:r w:rsidR="00F3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отчеты о </w:t>
            </w:r>
            <w:proofErr w:type="spellStart"/>
            <w:r w:rsidR="00F319F1">
              <w:rPr>
                <w:rFonts w:ascii="Times New Roman" w:eastAsia="Times New Roman" w:hAnsi="Times New Roman" w:cs="Times New Roman"/>
                <w:sz w:val="18"/>
                <w:szCs w:val="18"/>
              </w:rPr>
              <w:t>наркоситуации</w:t>
            </w:r>
            <w:proofErr w:type="spellEnd"/>
            <w:r w:rsidR="00F31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районе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3056F" w:rsidRPr="004A3091" w:rsidRDefault="00A3056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6F23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86F23" w:rsidRPr="00CF23AC" w:rsidRDefault="00586F2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86F23" w:rsidRPr="00CF23AC" w:rsidRDefault="00586F23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2 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F319F1" w:rsidRDefault="00586F23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деятельности антинаркотической  комиссии, анализ результатов реализации Программы на  заседаниях комиссии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F319F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«Можгинский район»</w:t>
            </w:r>
          </w:p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Антинаркотическая</w:t>
            </w:r>
            <w:proofErr w:type="spellEnd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межведомственная комиссия муниципального образования «Можгинский район</w:t>
            </w: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586F23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 годы</w:t>
            </w:r>
          </w:p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586F23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 результатов реализации Программы</w:t>
            </w:r>
          </w:p>
          <w:p w:rsidR="00586F23" w:rsidRPr="004A3091" w:rsidRDefault="00586F23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6F23" w:rsidRPr="004A3091" w:rsidRDefault="00586F23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6F23" w:rsidRPr="004A3091" w:rsidRDefault="00586F23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586F23" w:rsidP="0027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Проведены  4 заседания комиссии, анализ программы запланирован  на 1 заседании комиссии 201</w:t>
            </w:r>
            <w:r w:rsidR="0027258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86F23" w:rsidRPr="004A3091" w:rsidRDefault="00586F23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19F1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3 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пресс-конференций, "круглых столов" по проблемам противодействия злоупотреблению наркотическими средствами и психотропными веществами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ГУ «Межмуниципальный </w:t>
            </w: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МВД России «Можгинский»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БУЗ УР «Можгинская РБ МЗ УР»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культуры, спорта и молодежи Администрации муниципального образования «Можгинский район»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Управления образования и семьи  Администрации муниципального образования «Можгинский район»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ЗЦ  по предупреждению и борьбе со </w:t>
            </w:r>
            <w:proofErr w:type="spellStart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СПИДом</w:t>
            </w:r>
            <w:proofErr w:type="spellEnd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другими </w:t>
            </w:r>
            <w:proofErr w:type="gramStart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ИЗ</w:t>
            </w:r>
            <w:proofErr w:type="gramEnd"/>
          </w:p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</w:t>
            </w:r>
          </w:p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согл</w:t>
            </w:r>
            <w:proofErr w:type="spellEnd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информированности населения. </w:t>
            </w:r>
          </w:p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Сдерживание распространения незаконного потребления  наркотиков.</w:t>
            </w:r>
          </w:p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F31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Проведены классные часы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педколлективом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родителями и подрост</w:t>
            </w:r>
            <w:r w:rsidR="00272587">
              <w:rPr>
                <w:rFonts w:ascii="Times New Roman" w:eastAsia="Times New Roman" w:hAnsi="Times New Roman" w:cs="Times New Roman"/>
                <w:sz w:val="18"/>
                <w:szCs w:val="18"/>
              </w:rPr>
              <w:t>ками с участием представителей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ВД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9F1" w:rsidRPr="00CF23AC" w:rsidTr="00F319F1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мероприятий, направленных на выявление лиц, предоставляющих свои помещения для изготовления и потребления наркотических средств, с целью пресечения преступлений, связанных с изготовлением наркотических средств  и содержанием </w:t>
            </w:r>
            <w:proofErr w:type="spellStart"/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наркопритонов</w:t>
            </w:r>
            <w:proofErr w:type="spellEnd"/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ГУ «Межмуниципальный отдел МВД России «Можгинский»</w:t>
            </w:r>
          </w:p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БУЗ УР «Можгинская РБ МЗ УР»</w:t>
            </w:r>
          </w:p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 годы (</w:t>
            </w:r>
            <w:proofErr w:type="spellStart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согл</w:t>
            </w:r>
            <w:proofErr w:type="spellEnd"/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. планов)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данном направлении ведется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9F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19F1" w:rsidRPr="004A309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Своевременное информирование БУЗ УР "Можгинская РБ УР"  о потребителях наркотических средств,  совершивших преступления и правонарушения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 годы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i/>
                <w:iCs/>
                <w:color w:val="C00000"/>
                <w:sz w:val="16"/>
                <w:szCs w:val="16"/>
              </w:rPr>
              <w:t> </w:t>
            </w: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в данном направлении ведется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319F1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319F1" w:rsidRPr="00CF23AC" w:rsidRDefault="00F319F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мероприятий  в рамках межведомственной оперативно-профилактической операции "Мак", направленных на информирование  населения об ответственности за незаконное  культивирование наркосодержащих растений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 годы</w:t>
            </w:r>
          </w:p>
          <w:p w:rsidR="00F319F1" w:rsidRPr="00F319F1" w:rsidRDefault="00F319F1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19F1" w:rsidRPr="00F319F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F319F1" w:rsidRPr="00F319F1" w:rsidRDefault="00F319F1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F1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населения об ответственности за незаконное  культивирование наркосодержащих растений.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A95B07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A95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Работа </w:t>
            </w:r>
            <w:r w:rsidR="00A95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ведется в ра</w:t>
            </w:r>
            <w:r w:rsidRPr="00A95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мках операции «Мак»</w:t>
            </w:r>
            <w:r w:rsidR="00A95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мероприятия проведены с привлечением глав поселений</w:t>
            </w:r>
            <w:r w:rsidR="00734D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вопрос рассмотрен на заседаниях комиссии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19F1" w:rsidRPr="00CF23AC" w:rsidRDefault="00F319F1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5B07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95B07" w:rsidRPr="00CF23AC" w:rsidRDefault="00A95B07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A95B07" w:rsidRPr="00CF23AC" w:rsidRDefault="00A95B07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5B07" w:rsidRPr="00A95B07" w:rsidRDefault="00A95B0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Размещение на территории муниципального образования «Можгинский район»  социальной рекламы </w:t>
            </w:r>
            <w:proofErr w:type="spellStart"/>
            <w:r w:rsidRP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антинаркотического</w:t>
            </w:r>
            <w:proofErr w:type="spellEnd"/>
            <w:r w:rsidRP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содержания,  в том числе в СМИ</w:t>
            </w:r>
          </w:p>
          <w:p w:rsidR="00A95B07" w:rsidRPr="00A95B07" w:rsidRDefault="00A95B0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Сельские поселения муниципального образования «Можгинский район»</w:t>
            </w:r>
          </w:p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Администрации муниципального образования «Можгинский район», Управлен6ие образования и семьи Администрации муниципального образования «Можгинский район»</w:t>
            </w:r>
          </w:p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  </w:t>
            </w:r>
            <w:proofErr w:type="gramStart"/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. Можги и Можгинского района</w:t>
            </w:r>
          </w:p>
          <w:p w:rsidR="00A95B07" w:rsidRP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5B07" w:rsidRPr="00A95B07" w:rsidRDefault="00A95B0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 годы</w:t>
            </w:r>
          </w:p>
          <w:p w:rsidR="00A95B07" w:rsidRPr="00A95B07" w:rsidRDefault="00A95B0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ежекв</w:t>
            </w:r>
            <w:proofErr w:type="spellEnd"/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5B07" w:rsidRPr="00A95B07" w:rsidRDefault="00A95B0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A95B07" w:rsidRPr="00A95B07" w:rsidRDefault="00A95B0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95B07">
              <w:rPr>
                <w:rFonts w:ascii="Times New Roman" w:eastAsia="Times New Roman" w:hAnsi="Times New Roman" w:cs="Times New Roman"/>
                <w:sz w:val="16"/>
                <w:szCs w:val="16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95B07" w:rsidRDefault="00A95B0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каждом поселении района оформлены стенды </w:t>
            </w:r>
            <w:r w:rsid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профилактике наркомании </w:t>
            </w:r>
          </w:p>
          <w:p w:rsidR="006060E7" w:rsidRPr="00A95B0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Выпущены буклеты и распространены в районе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95B07" w:rsidRPr="00CF23AC" w:rsidRDefault="00A95B07">
            <w:pPr>
              <w:spacing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95B07" w:rsidRPr="00CF23AC" w:rsidRDefault="00A95B07">
            <w:pPr>
              <w:spacing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060E7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Размещение в СМИ,  в том числе на сайтах, материалов по вопросам ответственности, связанной с незаконным приобретением,  хранением и сбытом наркотических средств</w:t>
            </w:r>
          </w:p>
          <w:p w:rsidR="006060E7" w:rsidRPr="006060E7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  </w:t>
            </w:r>
            <w:proofErr w:type="gramStart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. Можги и Можгинского района</w:t>
            </w:r>
          </w:p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 годы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(1 раз в 6 </w:t>
            </w:r>
            <w:proofErr w:type="spellStart"/>
            <w:proofErr w:type="gramStart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ведется постоянно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6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60E7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СМИ по  формированию  общественного мнения, направленного  на популяризацию здорового образа жизни и предупреждение употребления </w:t>
            </w:r>
            <w:proofErr w:type="spellStart"/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веществ</w:t>
            </w:r>
          </w:p>
          <w:p w:rsidR="006060E7" w:rsidRPr="006060E7" w:rsidRDefault="006060E7" w:rsidP="006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«Можгинский район»</w:t>
            </w:r>
          </w:p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Управление культуры, спорта и молодежи Администрации муниципального </w:t>
            </w: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 «Можгинский район»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  </w:t>
            </w:r>
            <w:proofErr w:type="gramStart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. Можги и Можгинского района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2015-2020 годы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(постоянно)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ведется постоянно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60E7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4A3091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Проведение целенаправленной работы по профилактике немедицинского потребления наркотиков среди подростков и молодежи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Частично достигнут</w:t>
            </w: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>
            <w:pPr>
              <w:spacing w:before="40" w:after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060E7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профилактической  работы по  недопущению распространения курительных  смесей и новых видов ПАВ на территории  Можгинского района (с заслушиванием субъектов профилактики)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муниципального образования «Можгинский район»</w:t>
            </w:r>
          </w:p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Администрации муниципального образования «Можгинский район»</w:t>
            </w:r>
          </w:p>
          <w:p w:rsidR="006060E7" w:rsidRPr="006060E7" w:rsidRDefault="006060E7" w:rsidP="0060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 годы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6060E7" w:rsidRPr="006060E7" w:rsidRDefault="006060E7" w:rsidP="00606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 молодежи, охваченных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6060E7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60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каждом заседании комиссии были </w:t>
            </w:r>
            <w:proofErr w:type="spellStart"/>
            <w:r w:rsidRPr="0060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заслушены</w:t>
            </w:r>
            <w:proofErr w:type="spellEnd"/>
            <w:r w:rsidRPr="0060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субъекты профилактики  </w:t>
            </w:r>
            <w:proofErr w:type="gramStart"/>
            <w:r w:rsidRPr="0060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 w:rsidRPr="006060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профилактической</w:t>
            </w:r>
            <w:proofErr w:type="gramEnd"/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работы по  недопущению распространения курительных  смесей и новых видов ПАВ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3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060E7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профилактической  работы  с несовершеннолетними, проживающими в семьях лиц, совершивших правонарушения, связанные с незаконным оборотом наркотиков</w:t>
            </w:r>
          </w:p>
          <w:p w:rsidR="006060E7" w:rsidRPr="006060E7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ГУ «Межмуниципальный отдел МВД России «Можгинский»</w:t>
            </w:r>
          </w:p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 годы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(постоянно)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наркотиков.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001EB9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E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данному направлению информации нет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001EB9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001EB9" w:rsidRDefault="00B953E6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1E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Информация по данному направлению не представлена </w:t>
            </w:r>
          </w:p>
        </w:tc>
      </w:tr>
      <w:tr w:rsidR="006060E7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060E7" w:rsidRPr="00CF23AC" w:rsidRDefault="006060E7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060E7" w:rsidRPr="004A3091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агитационно-пропагандистских  мероприятий с привлечением  творческих коллективов,  приуроченных к Международному дню борьбы с наркоманией – 26 июня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 Администрации муниципального образования «Можгинский район»</w:t>
            </w:r>
          </w:p>
          <w:p w:rsidR="006060E7" w:rsidRPr="006060E7" w:rsidRDefault="006060E7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2015-2020 годы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6060E7" w:rsidRPr="006060E7" w:rsidRDefault="006060E7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06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мероприятиями.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E742CD" w:rsidRDefault="009D3696" w:rsidP="006060E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36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Фестиваль творчества среди молодёжи «Скажем наркотикам нет!» в рамках туристического слета среди молодёжи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02.07.2017 года.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060E7" w:rsidRPr="00CF23AC" w:rsidRDefault="006060E7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42CD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742CD" w:rsidRPr="00CF23AC" w:rsidRDefault="00E742CD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742CD" w:rsidRPr="00CF23AC" w:rsidRDefault="00E742CD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742CD" w:rsidRPr="004A3091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742CD" w:rsidRPr="004A3091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Систематическое проведение в учебных заведениях классных часов и родительских собраний с приглашением специалистов   здравоохранения и правоохранительных органов (по согласованию) в целях доведения  до учащихся и родителей </w:t>
            </w:r>
            <w:proofErr w:type="gramStart"/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информации</w:t>
            </w:r>
            <w:proofErr w:type="gramEnd"/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вреде запрещенных к обороту и употреблению  наркотических веществ,  в том числе курительных смесей</w:t>
            </w:r>
          </w:p>
          <w:p w:rsidR="00E742CD" w:rsidRPr="00E742CD" w:rsidRDefault="00E742CD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E742CD" w:rsidRPr="00E742CD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 годы</w:t>
            </w:r>
          </w:p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соотв. с планами)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мероприятиями.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742CD" w:rsidRPr="00E742CD" w:rsidRDefault="00E742CD" w:rsidP="006060E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 проведены лекции, родительские собрания, классные часы о вреде наркотических веществ, курительных смесей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742CD" w:rsidRPr="00CF23AC" w:rsidRDefault="00E742CD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742CD" w:rsidRPr="00CF23AC" w:rsidRDefault="00E742CD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42CD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742CD" w:rsidRPr="00CF23AC" w:rsidRDefault="00E742CD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742CD" w:rsidRPr="00CF23AC" w:rsidRDefault="00E742CD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742CD" w:rsidRPr="004A3091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742CD" w:rsidRPr="004A3091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мероприятий по профилактике наркомании и </w:t>
            </w:r>
            <w:proofErr w:type="spellStart"/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наркопреступности</w:t>
            </w:r>
            <w:proofErr w:type="spellEnd"/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среди несовершеннолетних и молодежи в детских оздоровительных лагерях в летний период</w:t>
            </w:r>
          </w:p>
          <w:p w:rsidR="00E742CD" w:rsidRPr="00E742CD" w:rsidRDefault="00E742CD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E742CD" w:rsidRPr="00E742CD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 Администрации муниципального образования «Можгинский район»</w:t>
            </w:r>
          </w:p>
          <w:p w:rsidR="00E742CD" w:rsidRPr="00E742CD" w:rsidRDefault="00E742CD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 годы</w:t>
            </w:r>
          </w:p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E742CD" w:rsidRPr="00E742CD" w:rsidRDefault="00E742CD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мероприятиями.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53E6" w:rsidRPr="00E742CD" w:rsidRDefault="00B953E6" w:rsidP="00B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летний период</w:t>
            </w:r>
          </w:p>
          <w:p w:rsidR="00E742CD" w:rsidRDefault="00B953E6" w:rsidP="00B95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 w:rsidRPr="00E742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детских оздоровительных лагерях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проведены мероприятия по ЗОЖ, мероприятия по профилактике наркомании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742CD" w:rsidRPr="00CF23AC" w:rsidRDefault="00E742CD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742CD" w:rsidRPr="00CF23AC" w:rsidRDefault="00E742CD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953E6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953E6" w:rsidRPr="00CF23AC" w:rsidRDefault="00B953E6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953E6" w:rsidRPr="00CF23AC" w:rsidRDefault="00B953E6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953E6" w:rsidRPr="00B953E6" w:rsidRDefault="00B953E6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мероприятий по раннему выявлению потребителей  наркотических средств и психотропных веществ,  в том числе  путем проведения профилактических медицинских  осмотров учащихся, студентов  и  лиц призывного возраста на предмет употребления  наркотических средств и психотропных  веществ</w:t>
            </w:r>
          </w:p>
          <w:p w:rsidR="00B953E6" w:rsidRPr="004A3091" w:rsidRDefault="00B953E6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БУЗ УР «Можгинская РБ МЗ УР»</w:t>
            </w:r>
          </w:p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ГУ «Межмуниципальный отдел МВД России «Можгинский»</w:t>
            </w:r>
          </w:p>
          <w:p w:rsidR="00B953E6" w:rsidRPr="004A3091" w:rsidRDefault="00B953E6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953E6" w:rsidRPr="004A3091" w:rsidRDefault="00B953E6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 годы</w:t>
            </w:r>
          </w:p>
          <w:p w:rsidR="00B953E6" w:rsidRPr="004A3091" w:rsidRDefault="00B953E6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B953E6" w:rsidRPr="00B953E6" w:rsidRDefault="00B953E6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B953E6" w:rsidRPr="00B953E6" w:rsidRDefault="00B953E6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5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Выявление потребителей наркотических средств и психотропных веществ.</w:t>
            </w:r>
          </w:p>
          <w:p w:rsidR="00B953E6" w:rsidRPr="004A3091" w:rsidRDefault="00B953E6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53E6" w:rsidRPr="00E742CD" w:rsidRDefault="003D20D9" w:rsidP="009D3696">
            <w:pPr>
              <w:pStyle w:val="a7"/>
              <w:jc w:val="both"/>
              <w:rPr>
                <w:color w:val="000000"/>
                <w:sz w:val="16"/>
                <w:szCs w:val="16"/>
              </w:rPr>
            </w:pPr>
            <w:r w:rsidRPr="003D20D9">
              <w:rPr>
                <w:sz w:val="16"/>
                <w:szCs w:val="16"/>
              </w:rPr>
              <w:t>В четырёх школах района МСКОУ «</w:t>
            </w:r>
            <w:proofErr w:type="spellStart"/>
            <w:r w:rsidRPr="003D20D9">
              <w:rPr>
                <w:sz w:val="16"/>
                <w:szCs w:val="16"/>
              </w:rPr>
              <w:t>Большеучинская</w:t>
            </w:r>
            <w:proofErr w:type="spellEnd"/>
            <w:r w:rsidRPr="003D20D9">
              <w:rPr>
                <w:sz w:val="16"/>
                <w:szCs w:val="16"/>
              </w:rPr>
              <w:t xml:space="preserve"> школа </w:t>
            </w:r>
            <w:proofErr w:type="gramStart"/>
            <w:r w:rsidRPr="003D20D9">
              <w:rPr>
                <w:sz w:val="16"/>
                <w:szCs w:val="16"/>
              </w:rPr>
              <w:t>–и</w:t>
            </w:r>
            <w:proofErr w:type="gramEnd"/>
            <w:r w:rsidRPr="003D20D9">
              <w:rPr>
                <w:sz w:val="16"/>
                <w:szCs w:val="16"/>
              </w:rPr>
              <w:t>нтернат», МБОУ «</w:t>
            </w:r>
            <w:proofErr w:type="spellStart"/>
            <w:r w:rsidRPr="003D20D9">
              <w:rPr>
                <w:sz w:val="16"/>
                <w:szCs w:val="16"/>
              </w:rPr>
              <w:t>Большеучинская</w:t>
            </w:r>
            <w:proofErr w:type="spellEnd"/>
            <w:r w:rsidRPr="003D20D9">
              <w:rPr>
                <w:sz w:val="16"/>
                <w:szCs w:val="16"/>
              </w:rPr>
              <w:t xml:space="preserve"> СОШ», МБОУ «</w:t>
            </w:r>
            <w:proofErr w:type="spellStart"/>
            <w:r w:rsidRPr="003D20D9">
              <w:rPr>
                <w:sz w:val="16"/>
                <w:szCs w:val="16"/>
              </w:rPr>
              <w:t>Пычасская</w:t>
            </w:r>
            <w:proofErr w:type="spellEnd"/>
            <w:r w:rsidRPr="003D20D9">
              <w:rPr>
                <w:sz w:val="16"/>
                <w:szCs w:val="16"/>
              </w:rPr>
              <w:t xml:space="preserve">  СОШ», МБОУ «</w:t>
            </w:r>
            <w:proofErr w:type="spellStart"/>
            <w:r w:rsidRPr="003D20D9">
              <w:rPr>
                <w:sz w:val="16"/>
                <w:szCs w:val="16"/>
              </w:rPr>
              <w:t>Нынекская</w:t>
            </w:r>
            <w:proofErr w:type="spellEnd"/>
            <w:r w:rsidRPr="003D20D9">
              <w:rPr>
                <w:sz w:val="16"/>
                <w:szCs w:val="16"/>
              </w:rPr>
              <w:t xml:space="preserve">  СОШ»проведено социально- психологическое тестирование на предмет раннего выявления незаконного потребления наркотических средств и психотропных веществ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53E6" w:rsidRPr="00CF23AC" w:rsidRDefault="00B953E6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B953E6" w:rsidRPr="00CF23AC" w:rsidRDefault="00B953E6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20D9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B953E6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4A3091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B953E6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3D20D9" w:rsidRDefault="003D20D9" w:rsidP="003D20D9">
            <w:pPr>
              <w:pStyle w:val="a7"/>
              <w:jc w:val="both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20D9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</w:t>
            </w: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семинара «Проблемы профилактики  потребления </w:t>
            </w:r>
            <w:proofErr w:type="spellStart"/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веществ в образовательных  учреждениях» с участием специалистов по профилактике  </w:t>
            </w:r>
            <w:proofErr w:type="spellStart"/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аддиктивного</w:t>
            </w:r>
            <w:proofErr w:type="spellEnd"/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поведения у детей и молодежи</w:t>
            </w:r>
          </w:p>
          <w:p w:rsidR="003D20D9" w:rsidRPr="003D20D9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образования и </w:t>
            </w: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семьи Администрации муниципального образования «Можгинский район»</w:t>
            </w:r>
          </w:p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2015-2020 годы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(соотв. с планами)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Сдерживание </w:t>
            </w: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распространения незаконного потребления  наркотиков и психотропных веществ.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3D20D9" w:rsidRDefault="003D20D9" w:rsidP="003D20D9">
            <w:pPr>
              <w:pStyle w:val="a7"/>
              <w:jc w:val="both"/>
              <w:rPr>
                <w:sz w:val="16"/>
                <w:szCs w:val="16"/>
              </w:rPr>
            </w:pPr>
            <w:r w:rsidRPr="003D20D9">
              <w:rPr>
                <w:sz w:val="16"/>
                <w:szCs w:val="16"/>
              </w:rPr>
              <w:lastRenderedPageBreak/>
              <w:t xml:space="preserve">Во всех </w:t>
            </w:r>
            <w:r w:rsidRPr="003D20D9">
              <w:rPr>
                <w:sz w:val="16"/>
                <w:szCs w:val="16"/>
              </w:rPr>
              <w:lastRenderedPageBreak/>
              <w:t>образовательных  учреждениях  Можгинского района прошли мероприятия, направленные на профилактику немедицинского потребления наркотиков для учащихся,  их родителей и педагогических коллективов школ. Для увеличения эффективности проводимой работы, администрация школ привлекала к работе специалистов разной направленности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20D9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профильных лагерей,  военно-спортивных сборов для подростков и юношей допризывного возраста, в том числе несовершеннолетних, состоящих на учете в органах внутренних дел</w:t>
            </w:r>
          </w:p>
          <w:p w:rsidR="003D20D9" w:rsidRPr="003D20D9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t>годы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Сдерживание распространения незаконного потребления  наркотиков и психотропных веществ.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3D20D9" w:rsidRDefault="001F26C0" w:rsidP="005E3C8A">
            <w:pPr>
              <w:pStyle w:val="a7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Участие подростков </w:t>
            </w:r>
            <w:r w:rsidR="005E3C8A">
              <w:rPr>
                <w:sz w:val="16"/>
                <w:szCs w:val="16"/>
              </w:rPr>
              <w:t>республиканских лагерных сменах: туристический лагерь «Искатели приключений» (2 чел.), республиканская смена «</w:t>
            </w:r>
            <w:proofErr w:type="spellStart"/>
            <w:r w:rsidR="005E3C8A">
              <w:rPr>
                <w:sz w:val="16"/>
                <w:szCs w:val="16"/>
              </w:rPr>
              <w:t>Вамыш</w:t>
            </w:r>
            <w:proofErr w:type="spellEnd"/>
            <w:r w:rsidR="005E3C8A">
              <w:rPr>
                <w:sz w:val="16"/>
                <w:szCs w:val="16"/>
              </w:rPr>
              <w:t>» (2 чел.), всероссийский лагерь «Орленок» (1 чел.),  «Вахта памяти» (1 чел.), Зональный конкурс «Юный пожарный» (3 чел.), республиканская лагерная смена «</w:t>
            </w:r>
            <w:proofErr w:type="spellStart"/>
            <w:r w:rsidR="005E3C8A">
              <w:rPr>
                <w:sz w:val="16"/>
                <w:szCs w:val="16"/>
              </w:rPr>
              <w:t>Егит</w:t>
            </w:r>
            <w:proofErr w:type="spellEnd"/>
            <w:r w:rsidR="005E3C8A">
              <w:rPr>
                <w:sz w:val="16"/>
                <w:szCs w:val="16"/>
              </w:rPr>
              <w:t xml:space="preserve"> </w:t>
            </w:r>
            <w:proofErr w:type="spellStart"/>
            <w:r w:rsidR="005E3C8A">
              <w:rPr>
                <w:sz w:val="16"/>
                <w:szCs w:val="16"/>
              </w:rPr>
              <w:t>тулкым</w:t>
            </w:r>
            <w:proofErr w:type="spellEnd"/>
            <w:r w:rsidR="005E3C8A">
              <w:rPr>
                <w:sz w:val="16"/>
                <w:szCs w:val="16"/>
              </w:rPr>
              <w:t xml:space="preserve">» (40 чел.), республиканская смена «Блокпост» (3 чел.), республиканская смена «Призывник» (1 чел.), </w:t>
            </w:r>
            <w:proofErr w:type="spellStart"/>
            <w:r w:rsidR="005E3C8A">
              <w:rPr>
                <w:sz w:val="16"/>
                <w:szCs w:val="16"/>
              </w:rPr>
              <w:t>респ</w:t>
            </w:r>
            <w:proofErr w:type="spellEnd"/>
            <w:r w:rsidR="005E3C8A">
              <w:rPr>
                <w:sz w:val="16"/>
                <w:szCs w:val="16"/>
              </w:rPr>
              <w:t>. смена «Свежий ветер» (2 чел.), лагерная смена по профориентации «В отрядном</w:t>
            </w:r>
            <w:proofErr w:type="gramEnd"/>
            <w:r w:rsidR="005E3C8A">
              <w:rPr>
                <w:sz w:val="16"/>
                <w:szCs w:val="16"/>
              </w:rPr>
              <w:t xml:space="preserve"> </w:t>
            </w:r>
            <w:proofErr w:type="gramStart"/>
            <w:r w:rsidR="005E3C8A">
              <w:rPr>
                <w:sz w:val="16"/>
                <w:szCs w:val="16"/>
              </w:rPr>
              <w:t>ритме</w:t>
            </w:r>
            <w:proofErr w:type="gramEnd"/>
            <w:r w:rsidR="005E3C8A">
              <w:rPr>
                <w:sz w:val="16"/>
                <w:szCs w:val="16"/>
              </w:rPr>
              <w:t>» (3 чел.)</w:t>
            </w:r>
            <w:r w:rsidR="00845EF4">
              <w:rPr>
                <w:sz w:val="16"/>
                <w:szCs w:val="16"/>
              </w:rPr>
              <w:t xml:space="preserve">, </w:t>
            </w:r>
            <w:proofErr w:type="spellStart"/>
            <w:r w:rsidR="00845EF4">
              <w:rPr>
                <w:sz w:val="16"/>
                <w:szCs w:val="16"/>
              </w:rPr>
              <w:t>респуб</w:t>
            </w:r>
            <w:proofErr w:type="spellEnd"/>
            <w:r w:rsidR="00845EF4">
              <w:rPr>
                <w:sz w:val="16"/>
                <w:szCs w:val="16"/>
              </w:rPr>
              <w:t>. Смена «</w:t>
            </w:r>
            <w:proofErr w:type="spellStart"/>
            <w:r w:rsidR="00845EF4">
              <w:rPr>
                <w:sz w:val="16"/>
                <w:szCs w:val="16"/>
              </w:rPr>
              <w:t>Шундыкар</w:t>
            </w:r>
            <w:proofErr w:type="spellEnd"/>
            <w:r w:rsidR="00845EF4">
              <w:rPr>
                <w:sz w:val="16"/>
                <w:szCs w:val="16"/>
              </w:rPr>
              <w:t>» (2 чел.)</w:t>
            </w:r>
            <w:r w:rsidR="005E3C8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20D9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семинаров для специалистов по теме «Организация профилактической работы с семьями, имеющими </w:t>
            </w: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наркозависимых»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 образования и семьи Администрации муниципального образования «Можгинский район»</w:t>
            </w:r>
          </w:p>
          <w:p w:rsidR="003D20D9" w:rsidRPr="003D20D9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2015-2020 годы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соотв. с планами)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Сдерживание распространения незаконного потребления  наркотиков и </w:t>
            </w: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психотропных веществ.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2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</w:t>
            </w:r>
          </w:p>
          <w:p w:rsidR="003D20D9" w:rsidRPr="003D20D9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3D20D9" w:rsidRDefault="00A42D38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Были проведены согласно              плану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20D9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Изготовление и распространение печатных информационно-пропагандистских материалов антинаркотической направленности  и средств  наглядной агитации  с указанием контактных телефонов, в том числе  телефонов доверия правоохранительных  органов (памятки, буклеты, плакаты и т.д.)</w:t>
            </w:r>
          </w:p>
          <w:p w:rsidR="003D20D9" w:rsidRPr="00A42D38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Администрации муниципального образования «Можгинский район»</w:t>
            </w:r>
          </w:p>
          <w:p w:rsidR="003D20D9" w:rsidRPr="00A42D38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 годы</w:t>
            </w:r>
          </w:p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</w:t>
            </w:r>
          </w:p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5EF4" w:rsidRPr="00A42D38" w:rsidRDefault="00A42D38" w:rsidP="00845EF4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2D38">
              <w:rPr>
                <w:sz w:val="16"/>
                <w:szCs w:val="16"/>
              </w:rPr>
              <w:t xml:space="preserve"> Разработка и распространение буклетов:  «</w:t>
            </w:r>
            <w:r w:rsidR="004F2AC2">
              <w:rPr>
                <w:sz w:val="16"/>
                <w:szCs w:val="16"/>
              </w:rPr>
              <w:t>Осторожно, электронные сигареты!» - 100 шт., «Я против курения» - 60 шт.</w:t>
            </w:r>
          </w:p>
          <w:p w:rsidR="00A42D38" w:rsidRPr="00A42D38" w:rsidRDefault="00A42D38" w:rsidP="00A42D38">
            <w:pPr>
              <w:pStyle w:val="a7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2D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20D9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D20D9" w:rsidRPr="00CF23AC" w:rsidRDefault="003D20D9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D20D9" w:rsidRPr="004A3091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антирекламы вредных привычек при организации культурно-массовых мероприятий для подростков и молодежи</w:t>
            </w:r>
          </w:p>
          <w:p w:rsidR="003D20D9" w:rsidRPr="00A42D38" w:rsidRDefault="003D20D9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Управление образования и семьи Администрации муниципального образования «Можгинский район»</w:t>
            </w:r>
          </w:p>
          <w:p w:rsidR="003D20D9" w:rsidRPr="00A42D38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культуры, спорта и молодежи  Администрации муниципального образования «Можгинский район»</w:t>
            </w:r>
          </w:p>
          <w:p w:rsidR="003D20D9" w:rsidRPr="00A42D38" w:rsidRDefault="003D20D9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>2015-2020 годы</w:t>
            </w:r>
          </w:p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sz w:val="16"/>
                <w:szCs w:val="16"/>
              </w:rPr>
              <w:t>(ежегодно)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информированности населения.</w:t>
            </w:r>
          </w:p>
          <w:p w:rsidR="003D20D9" w:rsidRPr="00A42D38" w:rsidRDefault="003D20D9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2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доли  детей им молодежи, охваченных профилактическими мероприятиями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5E07D0" w:rsidRDefault="005E07D0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Перед проведением культурно-массовых мероприятий в фойе ДК оформлены стенды </w:t>
            </w:r>
            <w:proofErr w:type="gramStart"/>
            <w:r>
              <w:rPr>
                <w:sz w:val="16"/>
                <w:szCs w:val="16"/>
              </w:rPr>
              <w:t>–а</w:t>
            </w:r>
            <w:proofErr w:type="gramEnd"/>
            <w:r>
              <w:rPr>
                <w:sz w:val="16"/>
                <w:szCs w:val="16"/>
              </w:rPr>
              <w:t>нтирекламы вредных привычек</w:t>
            </w:r>
            <w:r w:rsidR="004F2AC2">
              <w:rPr>
                <w:sz w:val="16"/>
                <w:szCs w:val="16"/>
              </w:rPr>
              <w:t>, Ящики «Сообщи, где торгуют смертью!»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D20D9" w:rsidRPr="00CF23AC" w:rsidRDefault="003D20D9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F8F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Совершенствование системы  лечебной  и реабилитационной помощи наркозависимым лицам, психотерапевтической  работы с родственниками (</w:t>
            </w:r>
            <w:proofErr w:type="spellStart"/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созависимыми</w:t>
            </w:r>
            <w:proofErr w:type="spellEnd"/>
            <w:r w:rsidRPr="004A3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F36F8F" w:rsidRPr="004A3091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3D20D9" w:rsidRDefault="005E07D0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 достигнут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F8F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5E07D0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0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консультационных приемов  учащихся врачами психиатрами-наркологами в 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БУЗ УР «Можгинская РБ МЗ УР»</w:t>
            </w:r>
          </w:p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образования и семьи Администрации </w:t>
            </w: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образования «</w:t>
            </w:r>
            <w:proofErr w:type="spellStart"/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Можгинскийракйон</w:t>
            </w:r>
            <w:proofErr w:type="spellEnd"/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2015-2020</w:t>
            </w:r>
          </w:p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годы</w:t>
            </w:r>
          </w:p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(постоянно)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Выявление потребителей наркотических средств и психотропных </w:t>
            </w: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веществ</w:t>
            </w:r>
          </w:p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3D20D9" w:rsidRDefault="005E07D0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Организованы Дни подростка в СОШ и ООШ района с привлечением специалистов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36F8F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5E07D0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0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интенсивной терапии больным наркоманией и токсикоманией в отделении БУЗ «Можгинская РБ МЗ УР»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БУЗ УР «Можгинская РБ МЗ УР»</w:t>
            </w:r>
          </w:p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 годы</w:t>
            </w:r>
          </w:p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(на системной основе)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5E07D0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0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Повышение уровня качества оказания  медицинской помощи</w:t>
            </w:r>
          </w:p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3D20D9" w:rsidRDefault="005E07D0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5E07D0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данному мероприятию информация не представлена</w:t>
            </w:r>
          </w:p>
        </w:tc>
      </w:tr>
      <w:tr w:rsidR="00F36F8F" w:rsidRPr="00CF23AC" w:rsidTr="000D67E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36F8F" w:rsidRPr="00CF23AC" w:rsidRDefault="00F36F8F" w:rsidP="006060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целенаправленной  работы с наркозависимыми и  родственниками лиц, участвующих  в реабилитационных  программах</w:t>
            </w:r>
          </w:p>
          <w:p w:rsidR="00F36F8F" w:rsidRPr="004A3091" w:rsidRDefault="00F36F8F" w:rsidP="000D6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БУЗ УР «Можгинская РБ МЗ УР»</w:t>
            </w:r>
          </w:p>
          <w:p w:rsidR="00F36F8F" w:rsidRPr="004A3091" w:rsidRDefault="00F36F8F" w:rsidP="000D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4A3091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091">
              <w:rPr>
                <w:rFonts w:ascii="Times New Roman" w:eastAsia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17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36F8F" w:rsidRPr="005E07D0" w:rsidRDefault="00F36F8F" w:rsidP="000D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E07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числа больных наркоманией, прошедших реабилитацию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3D20D9" w:rsidRDefault="005E07D0" w:rsidP="003D20D9">
            <w:pPr>
              <w:pStyle w:val="a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F36F8F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36F8F" w:rsidRPr="00CF23AC" w:rsidRDefault="005E07D0" w:rsidP="006060E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данному мероприятию информация не представлена</w:t>
            </w:r>
          </w:p>
        </w:tc>
      </w:tr>
    </w:tbl>
    <w:p w:rsidR="00CF23AC" w:rsidRPr="00CF23AC" w:rsidRDefault="00CF23AC" w:rsidP="006060E7">
      <w:pPr>
        <w:spacing w:after="0"/>
        <w:rPr>
          <w:rFonts w:ascii="Times New Roman" w:hAnsi="Times New Roman" w:cs="Times New Roman"/>
        </w:rPr>
        <w:sectPr w:rsidR="00CF23AC" w:rsidRPr="00CF23AC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F23AC" w:rsidRDefault="00CF23AC"/>
    <w:sectPr w:rsidR="00CF23AC" w:rsidSect="003865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9E" w:rsidRDefault="00EC519E" w:rsidP="0038654E">
      <w:pPr>
        <w:spacing w:after="0" w:line="240" w:lineRule="auto"/>
      </w:pPr>
      <w:r>
        <w:separator/>
      </w:r>
    </w:p>
  </w:endnote>
  <w:endnote w:type="continuationSeparator" w:id="0">
    <w:p w:rsidR="00EC519E" w:rsidRDefault="00EC519E" w:rsidP="0038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9E" w:rsidRDefault="00EC519E" w:rsidP="0038654E">
      <w:pPr>
        <w:spacing w:after="0" w:line="240" w:lineRule="auto"/>
      </w:pPr>
      <w:r>
        <w:separator/>
      </w:r>
    </w:p>
  </w:footnote>
  <w:footnote w:type="continuationSeparator" w:id="0">
    <w:p w:rsidR="00EC519E" w:rsidRDefault="00EC519E" w:rsidP="0038654E">
      <w:pPr>
        <w:spacing w:after="0" w:line="240" w:lineRule="auto"/>
      </w:pPr>
      <w:r>
        <w:continuationSeparator/>
      </w:r>
    </w:p>
  </w:footnote>
  <w:footnote w:id="1">
    <w:p w:rsidR="000D67EF" w:rsidRPr="008D17E2" w:rsidRDefault="000D67EF" w:rsidP="0038654E">
      <w:pPr>
        <w:pStyle w:val="a3"/>
        <w:rPr>
          <w:sz w:val="16"/>
          <w:szCs w:val="16"/>
        </w:rPr>
      </w:pPr>
      <w:r w:rsidRPr="008D17E2">
        <w:rPr>
          <w:rStyle w:val="a5"/>
          <w:sz w:val="16"/>
          <w:szCs w:val="16"/>
        </w:rPr>
        <w:footnoteRef/>
      </w:r>
      <w:r w:rsidRPr="008D17E2">
        <w:rPr>
          <w:sz w:val="16"/>
          <w:szCs w:val="16"/>
        </w:rPr>
        <w:t xml:space="preserve"> Заполняется для годового отчета.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54E"/>
    <w:rsid w:val="00001EB9"/>
    <w:rsid w:val="000438FC"/>
    <w:rsid w:val="000D67EF"/>
    <w:rsid w:val="001F26C0"/>
    <w:rsid w:val="00264121"/>
    <w:rsid w:val="00272587"/>
    <w:rsid w:val="0038654E"/>
    <w:rsid w:val="003C4D82"/>
    <w:rsid w:val="003D20D9"/>
    <w:rsid w:val="004F2AC2"/>
    <w:rsid w:val="00552D7A"/>
    <w:rsid w:val="00586F23"/>
    <w:rsid w:val="005E07D0"/>
    <w:rsid w:val="005E3C8A"/>
    <w:rsid w:val="006060E7"/>
    <w:rsid w:val="00734DCE"/>
    <w:rsid w:val="007609F7"/>
    <w:rsid w:val="00845EF4"/>
    <w:rsid w:val="009D3696"/>
    <w:rsid w:val="00A3056F"/>
    <w:rsid w:val="00A42D38"/>
    <w:rsid w:val="00A95B07"/>
    <w:rsid w:val="00AB20D2"/>
    <w:rsid w:val="00B953E6"/>
    <w:rsid w:val="00C8702B"/>
    <w:rsid w:val="00CF23AC"/>
    <w:rsid w:val="00E742CD"/>
    <w:rsid w:val="00EA11D8"/>
    <w:rsid w:val="00EA30C0"/>
    <w:rsid w:val="00EC519E"/>
    <w:rsid w:val="00F319F1"/>
    <w:rsid w:val="00F3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654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38654E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CF23A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2016-02-10T08:25:00Z</dcterms:created>
  <dcterms:modified xsi:type="dcterms:W3CDTF">2017-02-20T12:23:00Z</dcterms:modified>
</cp:coreProperties>
</file>